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8F69C7" w14:paraId="164132A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A1488DD" w14:textId="77777777" w:rsidR="008F69C7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0D353C4" w14:textId="77777777" w:rsidR="008F69C7" w:rsidRDefault="00000000">
            <w:pPr>
              <w:spacing w:after="0" w:line="240" w:lineRule="auto"/>
            </w:pPr>
            <w:r>
              <w:t>37662</w:t>
            </w:r>
          </w:p>
        </w:tc>
      </w:tr>
      <w:tr w:rsidR="008F69C7" w14:paraId="36E7D8F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E40660A" w14:textId="77777777" w:rsidR="008F69C7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7976AC4" w14:textId="77777777" w:rsidR="008F69C7" w:rsidRDefault="00000000">
            <w:pPr>
              <w:spacing w:after="0" w:line="240" w:lineRule="auto"/>
            </w:pPr>
            <w:r>
              <w:t>OPĆINA LOBOR</w:t>
            </w:r>
          </w:p>
        </w:tc>
      </w:tr>
      <w:tr w:rsidR="008F69C7" w14:paraId="44D67BB8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77A5310" w14:textId="77777777" w:rsidR="008F69C7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AD191E3" w14:textId="77777777" w:rsidR="008F69C7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73551BE8" w14:textId="77777777" w:rsidR="008F69C7" w:rsidRDefault="00000000">
      <w:r>
        <w:br/>
      </w:r>
    </w:p>
    <w:p w14:paraId="231C79DC" w14:textId="77777777" w:rsidR="008F69C7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167BBA07" w14:textId="77777777" w:rsidR="008F69C7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39C4E80" w14:textId="77777777" w:rsidR="008F69C7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3E7C4191" w14:textId="77777777" w:rsidR="008F69C7" w:rsidRDefault="008F69C7"/>
    <w:p w14:paraId="3FEC32F0" w14:textId="77777777" w:rsidR="008F69C7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636B042A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6D265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8BBD7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EF470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84D37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B1B36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3D611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C1CEC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212ACE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D50F4F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B940E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C042F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395B50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969.054,55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70D68A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1.389.488,45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E35B1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143,4</w:t>
            </w:r>
          </w:p>
        </w:tc>
      </w:tr>
      <w:tr w:rsidR="008F69C7" w14:paraId="547DDC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49D76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D9E48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212C3E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AB3A8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678.882,76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F0945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792.207,85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76FABD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116,7</w:t>
            </w:r>
          </w:p>
        </w:tc>
      </w:tr>
      <w:tr w:rsidR="008F69C7" w14:paraId="3C84605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7A8124" w14:textId="77777777" w:rsidR="008F69C7" w:rsidRDefault="008F69C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B9413C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0857B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19D4C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290.171,79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05CE10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597.280,60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BEEC8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205,8</w:t>
            </w:r>
          </w:p>
        </w:tc>
      </w:tr>
      <w:tr w:rsidR="008F69C7" w14:paraId="0A527B7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70C20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D0208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7D4F76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5E28F9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56C0C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2DA65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F69C7" w14:paraId="30C543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5699C3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557D0C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AAF97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314EB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949.175,35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A52EA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2.269.415,43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FA84C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239,1</w:t>
            </w:r>
          </w:p>
        </w:tc>
      </w:tr>
      <w:tr w:rsidR="008F69C7" w14:paraId="25D900B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B4B05B" w14:textId="77777777" w:rsidR="008F69C7" w:rsidRDefault="008F69C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DE4770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6745E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F10A2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949.175,35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1E66B5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2.266.175,43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71BFA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238,8</w:t>
            </w:r>
          </w:p>
        </w:tc>
      </w:tr>
      <w:tr w:rsidR="008F69C7" w14:paraId="42BAF40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FD3D7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2C58B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547E2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78B34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827019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136FF5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F69C7" w14:paraId="58CE6D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308B3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5941D9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401A9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49F1C0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68.723,48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CBF7C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70.054,03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ECE9B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101,9</w:t>
            </w:r>
          </w:p>
        </w:tc>
      </w:tr>
      <w:tr w:rsidR="008F69C7" w14:paraId="713CD5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4C339A" w14:textId="77777777" w:rsidR="008F69C7" w:rsidRDefault="008F69C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645BD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23DFC2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4BFD1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39B04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2.429.945,97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2D5C5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F69C7" w14:paraId="1301FC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D9F298" w14:textId="77777777" w:rsidR="008F69C7" w:rsidRDefault="008F69C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3C7FA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FAA3C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69EF4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0D0C1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761.051,14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4FED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4E31B562" w14:textId="77777777" w:rsidR="008F69C7" w:rsidRDefault="008F69C7">
      <w:pPr>
        <w:spacing w:after="0"/>
      </w:pPr>
    </w:p>
    <w:p w14:paraId="64084A10" w14:textId="77777777" w:rsidR="008F69C7" w:rsidRDefault="00000000">
      <w:r>
        <w:t xml:space="preserve">Ukupni prihodi i primici Općine Lobor ostvareni u razdoblju od 1. siječnja od 30. lipnja 2026. godine iznosili su 3.892.728,45 €, odnosno 301,7% ili 2.923.673,9 € više nego prethodne 2025. godine u istom razdoblju. Na rast prihoda poslovanja u promatranom razdoblju najvećim je dijelom utjecalo uvećanje prihoda od poreza na dohodak, prihoda od pomoći od izvanproračunskih korisnika i temeljem prijenosa EU sredstava i donacija, prihoda od nefinancijske imovine te prihoda od komunalne naknade. Prihodi od prodaje nefinancijske imovine ostvareni su u iznosu od 3.240,00 €, dok su primici od financijske imovine i zaduživanja u razdoblju od 1. siječnja do 30. lipnja 2026. godine ostvareni u iznosu od 2.500.000,00 € te nisu zabilježeni 2025. godine. Ukupni rashodi i izdaci su iznosili 3.131.677,31 € što je za 84,6% ili 1.434.895,72 € više rashoda nego prošle godine. Rashodi poslovanja su se uvećali, a na to je najviše utjecalo uvećanje </w:t>
      </w:r>
      <w:proofErr w:type="spellStart"/>
      <w:r>
        <w:t>uvećanje</w:t>
      </w:r>
      <w:proofErr w:type="spellEnd"/>
      <w:r>
        <w:t xml:space="preserve"> rashoda za plaće i doprinosa za plaće zaposlenika, rashoda za materijal i energiju, rashoda za usluge, ostalih nespomenutih rashoda poslovanja, ostalih financijskih rashoda, rashoda za </w:t>
      </w:r>
      <w:proofErr w:type="spellStart"/>
      <w:r>
        <w:t>subvencijei</w:t>
      </w:r>
      <w:proofErr w:type="spellEnd"/>
      <w:r>
        <w:t xml:space="preserve"> tekuće donacije. Rashodi za nabavu nefinancijske imovine uvećani su za 139,1%. Izdaci za financijsku imovinu i otplatu zajmova ostvareni su  1,9% više u odnosu na prethodnu godinu. Ostvaren je višak prihoda u iznosu od 761.051,14 €. Manjak prihoda iz prethodnog razdoblja iznosi 143.712,67 €, tako da se u sljedeće razdoblje prenosi višak u iznosu od 617.338,47 €.</w:t>
      </w:r>
    </w:p>
    <w:p w14:paraId="2D0E435F" w14:textId="77777777" w:rsidR="008F69C7" w:rsidRDefault="00000000">
      <w:r>
        <w:br/>
      </w:r>
    </w:p>
    <w:p w14:paraId="173B5B25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6FB0A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2466C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88571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828D1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6B5C8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8C70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89709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2171CE3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13A2F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60AC22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B8879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3693C9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969.054,55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D0370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1.389.488,45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DBB31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143,4</w:t>
            </w:r>
          </w:p>
        </w:tc>
      </w:tr>
    </w:tbl>
    <w:p w14:paraId="26003C64" w14:textId="77777777" w:rsidR="008F69C7" w:rsidRDefault="008F69C7">
      <w:pPr>
        <w:spacing w:after="0"/>
      </w:pPr>
    </w:p>
    <w:p w14:paraId="72199534" w14:textId="77777777" w:rsidR="008F69C7" w:rsidRDefault="00000000">
      <w:r>
        <w:t>Prihodi poslovanja Općine Lobor ostvareni u razdoblju od 1. siječnja od 30. lipnja 2026. godine iznosili su 1.389.488,45 €, odnosno 43,4% ili 420.433,90 € više nego prethodne 2025. godine. Na rast prihoda poslovanja u promatranom razdoblju najvećim je dijelom utjecalo uvećanje prihoda od poreza na dohodak, prihoda od pomoći od izvanproračunskih korisnika i temeljem prijenosa EU sredstava i donacija, prihoda od nefinancijske imovine te prihoda od komunalne naknade.</w:t>
      </w:r>
    </w:p>
    <w:p w14:paraId="5A7DD3AA" w14:textId="77777777" w:rsidR="008F69C7" w:rsidRDefault="008F69C7"/>
    <w:p w14:paraId="282E10A1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5E244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40AB3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F5DFD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9C43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08CB3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69E6E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CB526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7B77A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B863F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59DF66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DC34F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E859D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422.541,96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CC82B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535.458,80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BED9D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126,7</w:t>
            </w:r>
          </w:p>
        </w:tc>
      </w:tr>
    </w:tbl>
    <w:p w14:paraId="04EFBE35" w14:textId="77777777" w:rsidR="008F69C7" w:rsidRDefault="008F69C7">
      <w:pPr>
        <w:spacing w:after="0"/>
      </w:pPr>
    </w:p>
    <w:p w14:paraId="7C60AAA7" w14:textId="77777777" w:rsidR="008F69C7" w:rsidRDefault="00000000">
      <w:r>
        <w:t>Prihodi od poreza na dohodak u razdoblju od 1. siječnja do 30. lipnja 2026. godine ostvareni su u iznosu od 535.458,80 €, odnosno 26,7% ili 112.916,84 € više u odnosu na iste prihode ostvarene u promatranom razdoblju 2025. godine. Na rast prihoda od poreza na dohodak je utjecalo uvećanje prihoda od poreza na dohodak od nesamostalnog rada ostvarenih u iznosu od 694.191,63 €, odnosno 28,5% ili 153.966,42 € više u odnosu na ostvarenje u istom razdoblju 2025. godine, zatim uvećanje prihoda od poreza na dohodak od samostalnih djelatnosti ostvarenih u iznosu od 28.214,75 €, odnosno za 43,4% ili 8.536,23 € više, prihoda od poreza na dohodak od imovine i imovinskih prava ostvarenih u iznosu od 10.520,58 €, odnosno 18,8% ili 1.668,45 € više, prihoda od poreza na dohodak od kapitala ostvarenih u iznosu od 7.132,24 € koji su veći za 109,8%, odnosno 3.731,91 €, kao i prihoda od povrata poreza na dohodak po godišnjoj prijavi ostvarenih u iznosu od 227.429,80 € koji su veći za 31,3% ili 54.272,63 € više. Umanjeni su prihodi od poreza na dohodak po godišnjoj prijavi za 3%.</w:t>
      </w:r>
    </w:p>
    <w:p w14:paraId="237FB9BD" w14:textId="77777777" w:rsidR="008F69C7" w:rsidRDefault="008F69C7"/>
    <w:p w14:paraId="76053EE1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7B2D9A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4A38E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7680E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3B656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AEBBB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6479B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9EC66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04058E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8A5F54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77EC9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BD0760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D0942A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80.221,55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D0E22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58.909,38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7FE1C8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73,4</w:t>
            </w:r>
          </w:p>
        </w:tc>
      </w:tr>
    </w:tbl>
    <w:p w14:paraId="643F2E3B" w14:textId="77777777" w:rsidR="008F69C7" w:rsidRDefault="008F69C7">
      <w:pPr>
        <w:spacing w:after="0"/>
      </w:pPr>
    </w:p>
    <w:p w14:paraId="66DD6DCA" w14:textId="77777777" w:rsidR="008F69C7" w:rsidRDefault="00000000">
      <w:r>
        <w:t>Prihodi od tekućih pomoći iz županijskog i državnog proračuna u razdoblju od 1. siječnja do 30. lipnja 2026. godine ostvareni su u iznosu od 58.909,38 €, odnosno 26,6% ili 21.312,17 € manje u odnosu na iste prihode ostvarene u promatranom razdoblju 2025. godine. </w:t>
      </w:r>
    </w:p>
    <w:p w14:paraId="57C9CED9" w14:textId="77777777" w:rsidR="008F69C7" w:rsidRDefault="008F69C7"/>
    <w:p w14:paraId="74114D52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50261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D0319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0BFA07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83958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0CB56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9854A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F4B73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046C57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94F81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FF0BE2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od izvanproračunskih korisnika (šifre 6341+6342)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7C269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69D970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5.962,50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C7665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39.251,58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AF055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658,3</w:t>
            </w:r>
          </w:p>
        </w:tc>
      </w:tr>
    </w:tbl>
    <w:p w14:paraId="4B754ACE" w14:textId="77777777" w:rsidR="008F69C7" w:rsidRDefault="008F69C7">
      <w:pPr>
        <w:spacing w:after="0"/>
      </w:pPr>
    </w:p>
    <w:p w14:paraId="6DC38D69" w14:textId="77777777" w:rsidR="008F69C7" w:rsidRDefault="00000000">
      <w:r>
        <w:t>Prihodi od tekućih pomoći izvanproračunskih korisnika državnog proračuna u razdoblju od 1. siječnja do 30. lipnja 2026. godine ostvareni su u iznosu od 39.251,58, odnosno za 558,3% ili 33.289,08 € više nego u promatranom razdoblju 2025. godine. </w:t>
      </w:r>
    </w:p>
    <w:p w14:paraId="0214E76A" w14:textId="77777777" w:rsidR="008F69C7" w:rsidRDefault="008F69C7"/>
    <w:p w14:paraId="76FE8121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31C65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ACD4F7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72C99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AC991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7A157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7729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12FED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7013CCA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3B7E14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6094F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4091F1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2B90D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70.023,82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6023C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306.134,79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487DED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437,2</w:t>
            </w:r>
          </w:p>
        </w:tc>
      </w:tr>
    </w:tbl>
    <w:p w14:paraId="429E2D08" w14:textId="77777777" w:rsidR="008F69C7" w:rsidRDefault="008F69C7">
      <w:pPr>
        <w:spacing w:after="0"/>
      </w:pPr>
    </w:p>
    <w:p w14:paraId="49325F27" w14:textId="77777777" w:rsidR="008F69C7" w:rsidRDefault="00000000">
      <w:r>
        <w:t>Prihodi od kapitalnih pomoći temeljem prijenosa EU sredstava u razdoblju od 1. siječnja do 30. lipnja 2026. godine ostvareni su u iznosu od 306.134,79 €, odnosno za 337,2% ili 236.110,97 € više nego u promatranom razdoblju 2025. godine. </w:t>
      </w:r>
    </w:p>
    <w:p w14:paraId="2C792D71" w14:textId="77777777" w:rsidR="008F69C7" w:rsidRDefault="008F69C7"/>
    <w:p w14:paraId="3FD10C76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3A0A2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D7DE7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7F302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676B0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831A4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505D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DEB57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480937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A4BAA3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98D10A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982D9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1A0C90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7.386,05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60E32D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21.178,61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F820A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286,7</w:t>
            </w:r>
          </w:p>
        </w:tc>
      </w:tr>
    </w:tbl>
    <w:p w14:paraId="24B54A16" w14:textId="77777777" w:rsidR="008F69C7" w:rsidRDefault="008F69C7">
      <w:pPr>
        <w:spacing w:after="0"/>
      </w:pPr>
    </w:p>
    <w:p w14:paraId="59E806C8" w14:textId="77777777" w:rsidR="008F69C7" w:rsidRDefault="00000000">
      <w:r>
        <w:t>Navedeni doprinosi su u razdoblju od 1. siječnja do 30. lipnja 2026. godine ostvareni u iznosu od 21.178,61 €, odnosno 186,7% ili 13.792,56 € više u odnosu na iste prihode ostvarene u promatranom razdoblju 2025. godine zbog pojave prihoda od naknada za korištenje nefinancijske imovine, odnosno eksploatacije mineralnih sirovina te ostalih prihoda od nefinancijske imovine. Umanjeni su prihodi od zakupa i iznajmljivanja poslovnih objekata za 68,7% ili 4.824,28 € u odnosu na 2025. godinu.</w:t>
      </w:r>
    </w:p>
    <w:p w14:paraId="355909DD" w14:textId="77777777" w:rsidR="008F69C7" w:rsidRDefault="008F69C7"/>
    <w:p w14:paraId="33DC29A5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7438D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3667E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3D9F6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19F88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5F59E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08180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8EB81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2169B7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332264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BB3901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86E40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E6ECB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3.533,07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14BC5E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8B347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2,4</w:t>
            </w:r>
          </w:p>
        </w:tc>
      </w:tr>
    </w:tbl>
    <w:p w14:paraId="6FB21273" w14:textId="77777777" w:rsidR="008F69C7" w:rsidRDefault="008F69C7">
      <w:pPr>
        <w:spacing w:after="0"/>
      </w:pPr>
    </w:p>
    <w:p w14:paraId="1D7ABB44" w14:textId="77777777" w:rsidR="008F69C7" w:rsidRDefault="00000000">
      <w:r>
        <w:t>Doprinosi za šume su u razdoblju od 1. siječnja do 30. lipnja 2026. godine ostvareni u iznosu od 83,32 €, odnosno 97,6% ili 3.449,75 € manje u odnosu na iste prihode ostvarene u promatranom razdoblju 2025. godine.</w:t>
      </w:r>
    </w:p>
    <w:p w14:paraId="086EF25A" w14:textId="77777777" w:rsidR="008F69C7" w:rsidRDefault="008F69C7"/>
    <w:p w14:paraId="23542796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51E2B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7F648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3F9FD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432C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7BF7A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D947F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ABB24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0A1AF3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8E51AC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DFEF59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 i naknade (šifre 6531 do 6533)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EE2E8F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7CE15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34.039,14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DCB13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64.888,71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86C40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190,6</w:t>
            </w:r>
          </w:p>
        </w:tc>
      </w:tr>
    </w:tbl>
    <w:p w14:paraId="46FC1665" w14:textId="77777777" w:rsidR="008F69C7" w:rsidRDefault="008F69C7">
      <w:pPr>
        <w:spacing w:after="0"/>
      </w:pPr>
    </w:p>
    <w:p w14:paraId="4FF3F090" w14:textId="77777777" w:rsidR="008F69C7" w:rsidRDefault="00000000">
      <w:r>
        <w:t>Navedeni doprinosi su u razdoblju od 1. siječnja do 30. lipnja 2026. godine ostvareni u iznosu od 64.888,71 €, odnosno 90,6% ili 30.849,57 € više u odnosu na iste prihode ostvarene u promatranom razdoblju 2025. godine zbog uvećanih prihoda od komunalne naknade. </w:t>
      </w:r>
    </w:p>
    <w:p w14:paraId="5C60B647" w14:textId="77777777" w:rsidR="008F69C7" w:rsidRDefault="008F69C7"/>
    <w:p w14:paraId="053DA633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68F37E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1DB54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C0ABA6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86025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152B0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21BBA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291AB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E52323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7BE2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8764B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2FAC4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F1EE6D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678.882,76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54870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792.207,85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CC7FD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116,7</w:t>
            </w:r>
          </w:p>
        </w:tc>
      </w:tr>
    </w:tbl>
    <w:p w14:paraId="625CC476" w14:textId="77777777" w:rsidR="008F69C7" w:rsidRDefault="008F69C7">
      <w:pPr>
        <w:spacing w:after="0"/>
      </w:pPr>
    </w:p>
    <w:p w14:paraId="1BE9DF7A" w14:textId="77777777" w:rsidR="008F69C7" w:rsidRDefault="00000000">
      <w:r>
        <w:t xml:space="preserve">Rashodi poslovanja Općine Lobor ostvareni u razdoblju od 1. siječnja od 30. lipnja 2026. godine ostvareni su u iznosu od 792.207,85 €, odnosno 16,7% ili 113.325,09 € više nego prethodne 2025. godine. Na rast rashoda poslovanja je najviše utjecalo uvećanje rashoda za plaće i doprinosa za plaće zaposlenika, rashoda za materijal i energiju, rashoda za usluge, ostalih nespomenutih rashoda poslovanja, ostalih financijskih rashoda, rashoda za </w:t>
      </w:r>
      <w:proofErr w:type="spellStart"/>
      <w:r>
        <w:t>subvencijei</w:t>
      </w:r>
      <w:proofErr w:type="spellEnd"/>
      <w:r>
        <w:t xml:space="preserve"> tekuće donacije. Rashodi za nabavu nefinancijske imovine uvećani su za 139,1%.</w:t>
      </w:r>
    </w:p>
    <w:p w14:paraId="762F016A" w14:textId="77777777" w:rsidR="008F69C7" w:rsidRDefault="008F69C7"/>
    <w:p w14:paraId="04564542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01494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ABB14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BD6C8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FA430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EB1DC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E2C6F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6EF5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9B82E2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3A7FD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47818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40C10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3A1118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11.528,63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AEB79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17.364,58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C6B91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150,6</w:t>
            </w:r>
          </w:p>
        </w:tc>
      </w:tr>
    </w:tbl>
    <w:p w14:paraId="59CE825A" w14:textId="77777777" w:rsidR="008F69C7" w:rsidRDefault="008F69C7">
      <w:pPr>
        <w:spacing w:after="0"/>
      </w:pPr>
    </w:p>
    <w:p w14:paraId="626B92C8" w14:textId="77777777" w:rsidR="008F69C7" w:rsidRDefault="00000000">
      <w:r>
        <w:t>Doprinosi na plaće u razdoblju od 1. siječnja do 30. lipnja 2026. godine ostvareni su u iznosu od 17.364,58 €, odnosno 50,6% ili 5.835,95 € više u odnosu na doprinose ostvarene u istom razdoblju 2025. godine. Na rast u promatranom razdoblju je utjecalo uvećanje doprinosa za obvezno zdravstveno osiguranje.</w:t>
      </w:r>
    </w:p>
    <w:p w14:paraId="53EAE590" w14:textId="77777777" w:rsidR="008F69C7" w:rsidRDefault="008F69C7"/>
    <w:p w14:paraId="75759628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6AED2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E7C5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C5AAC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34F6C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EBCE0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4C33D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6CBF2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40D342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C5DCBA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B18B0A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2FAC5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F357CE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4.000,78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7C3747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9.605,51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61768A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240,1</w:t>
            </w:r>
          </w:p>
        </w:tc>
      </w:tr>
    </w:tbl>
    <w:p w14:paraId="69964921" w14:textId="77777777" w:rsidR="008F69C7" w:rsidRDefault="008F69C7">
      <w:pPr>
        <w:spacing w:after="0"/>
      </w:pPr>
    </w:p>
    <w:p w14:paraId="45806116" w14:textId="77777777" w:rsidR="008F69C7" w:rsidRDefault="00000000">
      <w:r>
        <w:t>Naknade troškova zaposlenima u razdoblju od 1. siječnja do 30. lipnja 2026. godine ostvareni su u iznosu od 9.605,51 €, odnosno 140,1% ili 5.604,73€ više u odnosu na naknade ostvarene u istom razdoblju 2025. godine. Na rast u promatranom razdoblju je najviše utjecalo uvećanje ostalih naknada troškova zaposlenima koji su ostvareni u iznosu od 5.694,82 € što je za 1.474,5% ili 5.333,12 € više nego u istom razdoblju 2025. godine.</w:t>
      </w:r>
    </w:p>
    <w:p w14:paraId="69196A9F" w14:textId="77777777" w:rsidR="008F69C7" w:rsidRDefault="008F69C7"/>
    <w:p w14:paraId="0F1C499B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1E6CC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406BBE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226D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492FF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C20E77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B1DA9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1C802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1717B9D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0FD61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94C749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AE0553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0F17C6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75.799,98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0FB98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34.661,87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4C7B0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45,7</w:t>
            </w:r>
          </w:p>
        </w:tc>
      </w:tr>
    </w:tbl>
    <w:p w14:paraId="04415D34" w14:textId="77777777" w:rsidR="008F69C7" w:rsidRDefault="008F69C7">
      <w:pPr>
        <w:spacing w:after="0"/>
      </w:pPr>
    </w:p>
    <w:p w14:paraId="5AA13D2D" w14:textId="77777777" w:rsidR="008F69C7" w:rsidRDefault="00000000">
      <w:r>
        <w:t>Rashodi za materijal i energiju u razdoblju od 1. siječnja do 30. lipnja 2026. godine ostvareni su u iznosu od 34.661,87 €, odnosno 54,3% ili 41.138,11 € manje u odnosu na iste rashode ostvarene u promatranom razdoblju 2025. godine. Na umanjenje rashoda za materijal i energiju utjecao je pad rashoda za materijal i dijelovi za tekuće i investicijsko održavanje koji su ostvareni za 88,5 % ili 45.214,6 € manje nego prethodne 2025. godine.</w:t>
      </w:r>
    </w:p>
    <w:p w14:paraId="76B4C468" w14:textId="77777777" w:rsidR="008F69C7" w:rsidRDefault="008F69C7"/>
    <w:p w14:paraId="0FDFBA8D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25181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0474F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06DA2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EAEDA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AB9BA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E03F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6A24F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2726CC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202E7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A3F096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51846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51626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42.445,98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399E9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59.101,86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856955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139,2</w:t>
            </w:r>
          </w:p>
        </w:tc>
      </w:tr>
    </w:tbl>
    <w:p w14:paraId="167A76CF" w14:textId="77777777" w:rsidR="008F69C7" w:rsidRDefault="008F69C7">
      <w:pPr>
        <w:spacing w:after="0"/>
      </w:pPr>
    </w:p>
    <w:p w14:paraId="732C9C11" w14:textId="77777777" w:rsidR="008F69C7" w:rsidRDefault="00000000">
      <w:r>
        <w:t>Rashodi za ostale nespomenute rashode poslovanja u razdoblju od 1. siječnja do 30. lipnja 2026. godine ostvareni su u iznosu od 59.101,86 €, odnosno 39,2% ili 16.655,88 € više u odnosu na iste rashode ostvarene u promatranom razdoblju 2025. godine. Na rast navedenih rashoda utjecalo je uvećanje rashoda za naknade za rad predstavničkih i izvršnih tijela, i upravnih vijeća za 124,3% ili 10.006,98 €, rashoda za premije osiguranja za 255,3% ili 923,39 €, članarine i norme za 434,4% ili 2.032,22 €, te uvećanih rashoda ostale nespomenute rashode poslovanja za 58,5% ili 12.439,21 € u usporedbi s 2025. godinom.</w:t>
      </w:r>
    </w:p>
    <w:p w14:paraId="116C3336" w14:textId="77777777" w:rsidR="008F69C7" w:rsidRDefault="008F69C7"/>
    <w:p w14:paraId="7EF55BFB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0F8D6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6A35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44537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41B09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1FDCC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65B55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B2F96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1DDD65B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4BF358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C34A5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08B1FE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A13FC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1.232,21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199634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7.462,83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A436F7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605,6</w:t>
            </w:r>
          </w:p>
        </w:tc>
      </w:tr>
    </w:tbl>
    <w:p w14:paraId="51930779" w14:textId="77777777" w:rsidR="008F69C7" w:rsidRDefault="008F69C7">
      <w:pPr>
        <w:spacing w:after="0"/>
      </w:pPr>
    </w:p>
    <w:p w14:paraId="10929470" w14:textId="77777777" w:rsidR="008F69C7" w:rsidRDefault="00000000">
      <w:r>
        <w:t>Rashodi za navedene prijenose u razdoblju od 1. siječnja do 30. lipnja 2026. godine ostvareni su u iznosu od 7.462,83 €, odnosno 505,6%  ili 6.230,62 € više u odnosu na iste rashode ostvarene u promatranom razdoblju 2025. godine. Na rast tih rashoda je najviše utjecalo uvećanje rashoda za bankarske usluge i usluge platnog prometa.</w:t>
      </w:r>
    </w:p>
    <w:p w14:paraId="62553A3E" w14:textId="77777777" w:rsidR="008F69C7" w:rsidRDefault="00000000">
      <w:r>
        <w:t> </w:t>
      </w:r>
    </w:p>
    <w:p w14:paraId="7AA84725" w14:textId="77777777" w:rsidR="008F69C7" w:rsidRDefault="008F69C7"/>
    <w:p w14:paraId="24BE427D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707B0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098C8E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61E09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1620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4BC08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6B8A9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872AA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13D41C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BF1C2B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A85EE1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kreditnim i financijskim institucijama, trgovačkim društvima, zadrugama, poljoprivrednicima i obrtnicima izvan javnog sektora (šifre 3521 do 3523)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4CE5F6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1ECA89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4CBE2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14.124,72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2732C8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4708,2</w:t>
            </w:r>
          </w:p>
        </w:tc>
      </w:tr>
    </w:tbl>
    <w:p w14:paraId="4B52EECA" w14:textId="77777777" w:rsidR="008F69C7" w:rsidRDefault="008F69C7">
      <w:pPr>
        <w:spacing w:after="0"/>
      </w:pPr>
    </w:p>
    <w:p w14:paraId="479FA4E2" w14:textId="77777777" w:rsidR="008F69C7" w:rsidRDefault="00000000">
      <w:r>
        <w:t>Rashodi za navedene subvencije u razdoblju od 1. siječnja do 30. lipnja 2026. godine ostvareni su u iznosu od 14.124,72 €, odnosno 4.608,2%  ili 13.824,72 € više u odnosu na iste rashode ostvarene u promatranom razdoblju 2025. godine. Na rast tih rashoda je najviše utjecalo uvećanje rashoda za subvencije obrtnicima i pojava rashoda za subvencije trgovačkim društvima izvan javnog sektora.</w:t>
      </w:r>
    </w:p>
    <w:p w14:paraId="52854259" w14:textId="77777777" w:rsidR="008F69C7" w:rsidRDefault="008F69C7"/>
    <w:p w14:paraId="5D4F3EC6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3348F8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282817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96E55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E9963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34CB1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602F02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F85105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48CC909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804481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D0B2E7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 (šifre 3811 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6BF792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0589F7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93.712,30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8A7338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138.339,85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72DE7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147,6</w:t>
            </w:r>
          </w:p>
        </w:tc>
      </w:tr>
    </w:tbl>
    <w:p w14:paraId="6AD4784D" w14:textId="77777777" w:rsidR="008F69C7" w:rsidRDefault="008F69C7">
      <w:pPr>
        <w:spacing w:after="0"/>
      </w:pPr>
    </w:p>
    <w:p w14:paraId="741814AF" w14:textId="77777777" w:rsidR="008F69C7" w:rsidRDefault="00000000">
      <w:r>
        <w:t>Rashodi za tekuće donacije u razdoblju od 1. siječnja do 30. lipnja 2026. godine ostvareni su u iznosu od 138.339,85 €, odnosno 47,6 ili 44.627,55 € više u odnosu na iste rashode ostvarene u promatranom razdoblju 2025. godine. Na rast tih rashoda je utjecalo umanjenje rashoda za tekuće donacije u novcu sportskim društvima, udrugama, političkim strankama, vjerskim zajednicama te neprofitnim organizacijama.</w:t>
      </w:r>
    </w:p>
    <w:p w14:paraId="5ADE815F" w14:textId="77777777" w:rsidR="008F69C7" w:rsidRDefault="008F69C7"/>
    <w:p w14:paraId="251606D6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7DC749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10F3BE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639C1B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8C113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3ED1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6C4B0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86145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4CBAF2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5CF73E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85E3B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7D7CF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2F938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3C6C2E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0EE02C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AF2DC12" w14:textId="77777777" w:rsidR="008F69C7" w:rsidRDefault="008F69C7">
      <w:pPr>
        <w:spacing w:after="0"/>
      </w:pPr>
    </w:p>
    <w:p w14:paraId="11F17948" w14:textId="77777777" w:rsidR="008F69C7" w:rsidRDefault="00000000">
      <w:r>
        <w:t>Navedeni prihodi su u razdoblju od 1. siječnja do 30. lipnja 2026. godine ostvareni u iznosu od 3.240,00 € te nisu bili ostvareni u promatranom razdoblju 2025. godine, a odnose se na prihode od prodaje zemljišta. </w:t>
      </w:r>
    </w:p>
    <w:p w14:paraId="77C6715B" w14:textId="77777777" w:rsidR="008F69C7" w:rsidRDefault="008F69C7"/>
    <w:p w14:paraId="12F7A4BA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07CD0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77200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13953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4F2F9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E0EBC6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C1EED0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F359E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0F8C8B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0196B1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FEF1D9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90DABD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245463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949.175,35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C617A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2.269.415,43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85682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239,1</w:t>
            </w:r>
          </w:p>
        </w:tc>
      </w:tr>
    </w:tbl>
    <w:p w14:paraId="43396262" w14:textId="77777777" w:rsidR="008F69C7" w:rsidRDefault="008F69C7">
      <w:pPr>
        <w:spacing w:after="0"/>
      </w:pPr>
    </w:p>
    <w:p w14:paraId="0B802923" w14:textId="77777777" w:rsidR="008F69C7" w:rsidRDefault="00000000">
      <w:r>
        <w:t>Rashodi za nabavu nefinancijske imovine u razdoblju od 1. siječnja do 30. lipnja 2026. godine ostvareni su u iznosu od 2.269.415,43 €, odnosno 139,1% ili 1.320.240,08 € više u odnosu na iste rashode ostvarene u promatranom razdoblju 2025. godine. Odnose se većinom na rashode za dodatna ulaganja na građevinskim objektima, dokumente prostornog uređenja, ulaganja u računalne programe, nabavu kombi vozila, uređaja i opreme i javne rasvjete.</w:t>
      </w:r>
    </w:p>
    <w:p w14:paraId="4EB6EDE5" w14:textId="77777777" w:rsidR="008F69C7" w:rsidRDefault="008F69C7"/>
    <w:p w14:paraId="5AD13D49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F69C7" w14:paraId="49966F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290438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93A4FF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2D9D8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05A0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A4AD4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659F21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56CA92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2F6386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09D3AF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0ACFC5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D18152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5B0EF1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58F99B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4A1B168" w14:textId="77777777" w:rsidR="008F69C7" w:rsidRDefault="008F69C7">
      <w:pPr>
        <w:spacing w:after="0"/>
      </w:pPr>
    </w:p>
    <w:p w14:paraId="1A1FA8C4" w14:textId="77777777" w:rsidR="008F69C7" w:rsidRDefault="00000000">
      <w:r>
        <w:t>Primici od financijske imovine i zaduživanja u razdoblju od 1. siječnja do 30. lipnja 2026. godine ostvareni su u iznosu od 2.500.000,00 € te nisu bili ostvareni u promatranom razdoblju 2025. godine. Odnose se na primljene kredite od kreditnih institucija u javnom sektoru.</w:t>
      </w:r>
    </w:p>
    <w:p w14:paraId="4B9A33B4" w14:textId="77777777" w:rsidR="008F69C7" w:rsidRDefault="008F69C7"/>
    <w:p w14:paraId="75BE6BAF" w14:textId="77777777" w:rsidR="008F69C7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25361CF9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8F69C7" w14:paraId="58D6D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0254C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7BF5DD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9424B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2071A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7633C" w14:textId="77777777" w:rsidR="008F69C7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69C7" w14:paraId="6EB9BBC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5482C8" w14:textId="77777777" w:rsidR="008F69C7" w:rsidRDefault="008F69C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2A0A8C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E3792C" w14:textId="77777777" w:rsidR="008F69C7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AC5E6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1.067,45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AF8CCF" w14:textId="77777777" w:rsidR="008F69C7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665FF02" w14:textId="77777777" w:rsidR="008F69C7" w:rsidRDefault="008F69C7">
      <w:pPr>
        <w:spacing w:after="0"/>
      </w:pPr>
    </w:p>
    <w:p w14:paraId="71F4ECA1" w14:textId="77777777" w:rsidR="008F69C7" w:rsidRDefault="00000000">
      <w:r>
        <w:t xml:space="preserve">Povećanje obveza u izvještajnom razdoblju iznosi 5.234.696,45 €, a isto se sastoji od obveza za rashode poslovanja i obveza za nabavu nefinancijske imovine, dok je početno stanje 01.01.2026. godine 852.054,77 € što čini ukupno 6.086.751,22 € obveza. U izvještajnom razdoblju podmirene su obveze u ukupnom iznosu od 3.118.965,80 € te na kraju izvještajnog razdoblja tj. sa 30 lipnjem 2026. godine stanje obveza iznosi 2.967.785,42 €.  Dospjele obveze na kraju izvještajnog razdoblja su evidentirane u iznosu od 1.067,45 € za rashode poslovanja zbog nedostatka računa po usklađenju, dok iznos nedospjelih obveza iznosi 2.966.717,97 € i to za obveze za rashode poslovanja, obveze za financijsku imovinu i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prihode.</w:t>
      </w:r>
    </w:p>
    <w:p w14:paraId="5C26D4D2" w14:textId="77777777" w:rsidR="008F69C7" w:rsidRDefault="008F69C7"/>
    <w:p w14:paraId="58BF71B3" w14:textId="77777777" w:rsidR="008F69C7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p w14:paraId="4379D211" w14:textId="77777777" w:rsidR="008F69C7" w:rsidRDefault="00000000">
      <w:pPr>
        <w:spacing w:line="240" w:lineRule="auto"/>
        <w:jc w:val="both"/>
      </w:pPr>
      <w:r>
        <w:rPr>
          <w:b/>
        </w:rPr>
        <w:t>EU izvještaj</w:t>
      </w:r>
    </w:p>
    <w:p w14:paraId="337CC18D" w14:textId="77777777" w:rsidR="008F69C7" w:rsidRDefault="00000000">
      <w:r>
        <w:t>Prihodi poslovanja Općine Lobor za ovaj izvještaj odnose se na Centar za starije osobe Lobor i iz Mehanizma  za oporavak i otpornost - bespovratna sredstva ostvareni su u iznosu od 306.134,79 € te nisu bili zabilježeni tijekom 2025. godine. </w:t>
      </w:r>
    </w:p>
    <w:p w14:paraId="5419FCDD" w14:textId="77777777" w:rsidR="008F69C7" w:rsidRDefault="00000000">
      <w:r>
        <w:t>Rashodi poslovanja Općine Lobor za ovaj izvještaj odnose se na Centar za starije osobe Lobor i iz Mehanizma za oporavak i otpornost - bespovratna sredstva ostvareni su u iznosu od 1.567,71 € za intelektualne i osobne usluge te nisu bili zabilježeni tijekom 2025. godine. Odnose se na službena putovanja u iznosu od 2.000,00 € i usluga tekućeg i investicijskog održavanja u iznosu od 3.595,00 €.</w:t>
      </w:r>
    </w:p>
    <w:p w14:paraId="04067E6F" w14:textId="77777777" w:rsidR="008F69C7" w:rsidRDefault="00000000">
      <w:r>
        <w:t>Rashodi za nabavu nefinancijske imovine ostvareni su u iznosu od 304.567,08 € te nisu bili zabilježeni tijekom 2024. godine. Odnose se na poslovne objekte u iznosu od 278.544,58 € i rashoda za prijevozna sredstva u iznosu od 26.022,50 €.</w:t>
      </w:r>
    </w:p>
    <w:p w14:paraId="082D1B21" w14:textId="77777777" w:rsidR="008F69C7" w:rsidRDefault="008F69C7"/>
    <w:sectPr w:rsidR="008F6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C7"/>
    <w:rsid w:val="0059398B"/>
    <w:rsid w:val="008E24DF"/>
    <w:rsid w:val="008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FE9D0"/>
  <w15:docId w15:val="{7CF48F7D-655F-41C5-8CF7-135AA02A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2560</Words>
  <Characters>14598</Characters>
  <Application>Microsoft Office Word</Application>
  <DocSecurity>0</DocSecurity>
  <Lines>121</Lines>
  <Paragraphs>34</Paragraphs>
  <ScaleCrop>false</ScaleCrop>
  <Company/>
  <LinksUpToDate>false</LinksUpToDate>
  <CharactersWithSpaces>17124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Galunić</cp:lastModifiedBy>
  <cp:revision>2</cp:revision>
  <dcterms:created xsi:type="dcterms:W3CDTF">2026-07-14T11:38:00Z</dcterms:created>
  <dcterms:modified xsi:type="dcterms:W3CDTF">2026-07-14T11:38:00Z</dcterms:modified>
</cp:coreProperties>
</file>