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335677f214d80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37662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LOBOR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III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527.511,72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873.887,31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165,7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307.674,48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307.173,49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219.837,24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566.713,82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257,8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3.240,00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421.539,68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978.100,43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232,0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421.539,68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974.860,43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231,3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2.500.000,00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24.163,15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33.330,52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2.466.669,48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2.058.522,87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Ukupni prihodi i primici Općine Lobor ostvareni u razdoblju od 1. siječnja od 31. ožujka 2026. godine iznosili su 3.377.127,31 €, odnosno 540,2% ili 2.849.615,59 € više nego prethodne 2025. godine u istom razdoblju. Na rast prihoda poslovanja u promatranom razdoblju najvećim je dijelom utjecalo uvećanje prihoda od poreza na dohodak, pojavom pomoći od izvanproračunskih korisnika i temeljem prijenosa EU sredstava i donacija, prihoda od nefinancijske imovine. Primici od financijske imovine i zaduživanja u razdoblju od 1. siječnja do 31. ožujka 2026. godine ostvareni su u iznosu od 2.500.000,00 €. Ukupni rashodi i izdaci su iznosili 1.318.604,44 € što je za 75% ili 565.227,13 € više rashoda nego prošle godine. Rashodi poslovanja su se umanjili, a na to je najviše utjecalo umanjenje rashoda za plaće zaposlenika, rashoda za materijal i energiju, ostalih nespomenutih rashoda poslovanja; rashoda za prijenose proračunskim korisnicima za financiranje redovne djelatnosti i tekućih donacija. Rashodi za nabavu nefinancijske imovine - građevinskih objekata uvećani su za 132%. Izdaci za financijsku imovinu i otplatu zajmova ostvareni su  37,9% više u odnosu na prethodnu godinu. Ostvaren je višak prihoda u iznosu od 2.058.522,87 €. Manjak prihoda iz prethodnog razdoblja iznosi 143.712,67 €, tako da se u sljedeće razdoblje prenosi višak u iznosu od 1.914.810,20 €.</w:t>
      </w:r>
    </w:p>
    <w:p>
      <w:r>
        <w:t xml:space="preserve">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527.511,72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873.887,31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165,7</w:t>
            </w:r>
          </w:p>
        </w:tc>
      </w:tr>
    </w:tbl>
    <w:p>
      <w:pPr>
        <w:spacing w:before="0" w:after="0"/>
      </w:pPr>
    </w:p>
    <w:p>
      <w:r>
        <w:t xml:space="preserve">Prihodi poslovanja Općine Lobor ostvareni u razdoblju od 1. siječnja od 31. ožujka 2026. godine iznosili su 873.887,31 €, odnosno 65,7% ili 346.375,59 € više nego prethodne 2025. godine. Na rast prihoda poslovanja u promatranom razdoblju najvećim je dijelom utjecalo uvećanje prihoda od poreza na dohodak, pojavom pomoći od izvanproračunskih korisnika i temeljem prijenosa EU sredstava i donacija, prihoda od nefinancijske imovine.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(šifre 6111 do 6116 - 6117 - 6119)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291.777,99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342.958,32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117,5</w:t>
            </w:r>
          </w:p>
        </w:tc>
      </w:tr>
    </w:tbl>
    <w:p>
      <w:pPr>
        <w:spacing w:before="0" w:after="0"/>
      </w:pPr>
    </w:p>
    <w:p>
      <w:r>
        <w:t xml:space="preserve">Prihodi od poreza na dohodak u razdoblju od 1. siječnja do 31. ožujka 2026. godine ostvareni su u iznosu od 342.958,32 €, odnosno 17,5% ili 51.180,33 € više u odnosu na iste prihode ostvarene u promatranom razdoblju 2025. godine. Na rast prihoda od poreza na dohodak je utjecalo uvećanje prihoda od poreza na dohodak od nesamostalnog rada ostvarenih u iznosu od 328.741,44 €, odnosno 21,6% ili 67.999,05 € više u odnosu na ostvarenje u istom razdoblju 2025. godine, dok je evidentirano umanjenje prihoda od poreza na dohodak od samostalnih djelatnosti ostvarenih u iznosu od 7.546,68 €, odnosno za 38,1% ili 4.641,35 € manje, zatim prihoda od poreza na dohodak od imovine i imovinskih prava ostvarenih u iznosu od 4.183,43 €, odnosno 35,1% ili 2.257,74 € manje, prihoda od poreza na dohodak od kapitala ostvarenih u iznosu od 2.486,77 € koji su manji za 15,9%, odnosno 468,93 €.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imovinu (šifre 6131 do 6135)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6.785,56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2.701,04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39,8</w:t>
            </w:r>
          </w:p>
        </w:tc>
      </w:tr>
    </w:tbl>
    <w:p>
      <w:pPr>
        <w:spacing w:before="0" w:after="0"/>
      </w:pPr>
    </w:p>
    <w:p>
      <w:r>
        <w:t xml:space="preserve">Prihodi od poreza na dohodak u razdoblju od 1. siječnja do 31. ožujka 2026. godine ostvareni su u iznosu od 2.701,04 €, odnosno 60,2% ili 4.084,52 € manje u odnosu na iste prihode ostvarene u promatranom razdoblju 2025. godine. Na pad prihoda od poreza na imovinu utjecao je umanjenje prihoda od povremenih poreza na imovinu, odnosno poreza na promet nekretnina koji je ostvaren u iznosu od 2.417,62 €, odnosno 63,1% ili 4.139,89 € manje nego istog razdoblja 2025. godine. Prihodi od stalnih poreza na nepokretnu imovinu (zemlju, zgrade, kuće i ostalo) su uvećani za 24,3% ili 55,37 €.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od izvanproračunskih korisnika (šifre 6341+6342)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15.227,02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od tekućih pomoći izvanproračunskih korisnika u razdoblju od 1. siječnja do 31. ožujka 2026. godine ostvareni su u iznosu od 15.227,02 € te nisu zabilježeni u promatranom razdoblju 2025.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temeljem prijenosa EU sredstava (šifre 6381+6382)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333.917,25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od kapitalnih pomoći temeljem prijenosa EU sredstava u razdoblju od 1. siječnja do 31. ožujka 2026. godine ostvareni su u iznosu od 333.917,25 € te nisu zabilježeni u promatranom razdoblju 2025.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nefinancijske imovine (šifre 6421 do 6429)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5.930,66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15.504,00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261,4</w:t>
            </w:r>
          </w:p>
        </w:tc>
      </w:tr>
    </w:tbl>
    <w:p>
      <w:pPr>
        <w:spacing w:before="0" w:after="0"/>
      </w:pPr>
    </w:p>
    <w:p>
      <w:r>
        <w:t xml:space="preserve">Navedeni doprinosi su u razdoblju od 1. siječnja do 31. ožujka 2026. godine ostvareni u iznosu od 15.504,00 €, odnosno 161,4% ili 9.573,34 € više u odnosu na iste prihode ostvarene u promatranom razdoblju 2025. godine zbog pojave prihoda od naknada za korištenje nefinancijske imovine te ostalih prihoda od nefinancijske imovine. Umanjeni su prihodi od zakupa i iznajmljivanja imovine za 87,8% ili 5.208,52 € u odnosu na 2025.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 i naknade (šifre 6531 do 6533)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397,28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183,92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46,3</w:t>
            </w:r>
          </w:p>
        </w:tc>
      </w:tr>
    </w:tbl>
    <w:p>
      <w:pPr>
        <w:spacing w:before="0" w:after="0"/>
      </w:pPr>
    </w:p>
    <w:p>
      <w:r>
        <w:t xml:space="preserve">Navedeni doprinosi su u razdoblju od 1. siječnja do 31. ožujka 2026. godine ostvareni u iznosu od 183,92 €, odnosno 53,7% ili 213,36 € manje u odnosu na iste prihode ostvarene u promatranom razdoblju 2025. godine zbog umanjenih prihoda od komunalne naknade.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307.674,48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307.173,49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99,8</w:t>
            </w:r>
          </w:p>
        </w:tc>
      </w:tr>
    </w:tbl>
    <w:p>
      <w:pPr>
        <w:spacing w:before="0" w:after="0"/>
      </w:pPr>
    </w:p>
    <w:p>
      <w:r>
        <w:t xml:space="preserve">Rashodi poslovanja Općine Lobor ostvareni u razdoblju od 1. siječnja od 31. ožujka 2026. godine ostvareni su u iznosu od 307.173,49 €, odnosno 0,2% ili 500,99 € manje nego prethodne 2025. godine. Na pad rashoda poslovanja je najviše utjecalo umanjenje rashoda za plaće zaposlenika, rashoda za materijal i energiju, ostalih nespomenutih rashoda poslovanja; rashoda za prijenose proračunskim korisnicima za financiranje redovne djelatnosti i tekućih donacija. Rashodi za nabavu nefinancijske imovine - građevinskih objekata uvećani su za 132%.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na plaće (šifre 3131 do 3133)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5.426,46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7.268,99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134,0</w:t>
            </w:r>
          </w:p>
        </w:tc>
      </w:tr>
    </w:tbl>
    <w:p>
      <w:pPr>
        <w:spacing w:before="0" w:after="0"/>
      </w:pPr>
    </w:p>
    <w:p>
      <w:r>
        <w:t xml:space="preserve">Doprinosi na plaće u razdoblju od 1. siječnja do 31. ožujka 2026. godine ostvareni su u iznosu od 7.268,99 €, odnosno 34% ili 1.842,53 € više u odnosu na doprinose ostvarene u istom razdoblju 2025. godine. Na rast u promatranom razdoblju je utjecalo uvećanje doprinosa za obvezno zdravstveno osiguranje.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troškova zaposlenima (šifre 3211 do 3214)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1.924,73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4.157,84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216,0</w:t>
            </w:r>
          </w:p>
        </w:tc>
      </w:tr>
    </w:tbl>
    <w:p>
      <w:pPr>
        <w:spacing w:before="0" w:after="0"/>
      </w:pPr>
    </w:p>
    <w:p>
      <w:r>
        <w:t xml:space="preserve">Naknade troškova zaposlenima u razdoblju od 1. siječnja do 31. ožujka 2026. godine ostvareni su u iznosu od 4.157,84 €, odnosno 116% ili 2.233,11 € više u odnosu na naknade ostvarene u istom razdoblju 2025. godine. Na rast u promatranom razdoblju je najviše utjecalo uvećanje ostalih naknada troškova zaposlenima koji su ostvareni u iznosu od 2.533,55 € što je za 890,8% ili 2.277,85 € više nego u istom razdoblju 2025.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materijal i energiju (šifre 3221 do 3227)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39.020,45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17.123,55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43,9</w:t>
            </w:r>
          </w:p>
        </w:tc>
      </w:tr>
    </w:tbl>
    <w:p>
      <w:pPr>
        <w:spacing w:before="0" w:after="0"/>
      </w:pPr>
    </w:p>
    <w:p>
      <w:r>
        <w:t xml:space="preserve">Rashodi za materijal i energiju u razdoblju od 1. siječnja do 31. ožujka 2026. godine ostvareni su u iznosu od 17.123,55 €, odnosno 56,1% ili 21.896,90 € manje u odnosu na iste rashode ostvarene u promatranom razdoblju 2025. godine. Na umanjenje rashoda za materijal i energiju utjecao je pad rashoda za materijal i dijelovi za tekuće i investicijsko održavanje koji su ostvareni za 90,7 % ili 22.314,38 € manje nego prethodne 2025. godine i rashoda za uredski materijal i ostale materijalne rashode koji su ostvareni manje za 8,7% ili 227,60 €. Rashodi za energiju uvećani su za 1,7% ili 188,28 €, kao i rashodi za sitni inventar koji su ostvareni za 120,6%, odnosno 456,80 € više u odnosu na ostvarenje u istom razdoblju 2025.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usluge (šifre 3231 do 3239)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37.633,43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56.194,21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149,3</w:t>
            </w:r>
          </w:p>
        </w:tc>
      </w:tr>
    </w:tbl>
    <w:p>
      <w:pPr>
        <w:spacing w:before="0" w:after="0"/>
      </w:pPr>
    </w:p>
    <w:p>
      <w:r>
        <w:t xml:space="preserve">Rashodi za usluge u razdoblju od 1. siječnja do 31. ožujka 2026. godine ostvareni su u iznosu od 56.194,21 €, odnosno 49,3% ili 18.560,78 € više u odnosu na iste rashode ostvarene u promatranom razdoblju 2025. godine. Na rast rashoda za usluge utjecalo je uvećanje rashoda za usluge telefona, poštarine i ostalih usluga za komunikaciju i prijevoz za 46,1% ili 629,25 €, rashoda za usluge tekućeg i investicijskog održavanja za 560,5% ili 32.434,31 €, uvećanje rashoda za zakupnine i  najamnine za 23,5% ili 51,38 €, rashoda za računalne usluge za 34,5% ili 714,50 € više. Umanjeni su rashodi za usluge promidžbe i informiranja za 21,2% ili 844,82 €, rashodi za komunalne usluge za 38,7% ili 4.399,06 €, zdravstvene i veterinarske usluge za 39,7% ili 621,87 € manje, rashoda za intelektualne i osobne usluge za 77,1% ili  6.618,38 € manje.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(šifre 3291 do 3299)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30.119,70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19.227,92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63,8</w:t>
            </w:r>
          </w:p>
        </w:tc>
      </w:tr>
    </w:tbl>
    <w:p>
      <w:pPr>
        <w:spacing w:before="0" w:after="0"/>
      </w:pPr>
    </w:p>
    <w:p>
      <w:r>
        <w:t xml:space="preserve">Rashodi za ostale nespomenute rashode poslovanja u razdoblju od 1. siječnja do 31. ožujka 2026. godine ostvareni su u iznosu od 19.227,92 €, odnosno 36,2% ili 10.891,78 € manje u odnosu na iste rashode ostvarene u promatranom razdoblju 2025. godine. Na pad navedenih rashoda utjecalo je umanjenje rashoda za reprezentaciju za 84,2% ili 1.717,86 €, umanjenje rashoda za pristojbe i naknade za 88,6% ili 5.432,76 €, dok su uvećani rashodi za premije osiguranja za 9,3% ili 33,52 € te ostali nespomenuti rashoda poslovanja za 8,4% ili 1.377,37 € u usporedbi s 2025. godinom.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financijski rashodi (šifre 3431 do 3434)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622,60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5.763,56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925,7</w:t>
            </w:r>
          </w:p>
        </w:tc>
      </w:tr>
    </w:tbl>
    <w:p>
      <w:pPr>
        <w:spacing w:before="0" w:after="0"/>
      </w:pPr>
    </w:p>
    <w:p>
      <w:r>
        <w:t xml:space="preserve">Rashodi za navedene prijenose u razdoblju od 1. siječnja do 31. ožujka 2026. godine ostvareni su u iznosu od 5.763,56 €, odnosno 825,7%  ili 5.140,96 € više u odnosu na iste rashode ostvarene u promatranom razdoblju 2025. godine. Na rast tih rashoda je najviše utjecalo uvećanje rashoda za bankarske usluge i usluge platnog prometa.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redovne djelatnosti (šifre 3672 do 3674)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96.079,16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91.966,00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95,7</w:t>
            </w:r>
          </w:p>
        </w:tc>
      </w:tr>
    </w:tbl>
    <w:p>
      <w:pPr>
        <w:spacing w:before="0" w:after="0"/>
      </w:pPr>
    </w:p>
    <w:p>
      <w:r>
        <w:t xml:space="preserve">Rashodi za navedene prijenose u razdoblju od 1. siječnja do 31. ožujka 2026. godine ostvareni su u iznosu od 91.966,00 €, odnosno 4,3%  ili 4.113,16 € manje u odnosu na iste rashode ostvarene u promatranom razdoblju 2025. godine. Na pad tih rashoda je utjecalo umanjenje rashoda za prijenose proračunskim korisnicima iz nadležnog proračuna za financiranje rashoda poslovanja.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naknade građanima i kućanstvima iz proračuna (šifre 3721 do 3723)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10.622,38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28.294,41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266,4</w:t>
            </w:r>
          </w:p>
        </w:tc>
      </w:tr>
    </w:tbl>
    <w:p>
      <w:pPr>
        <w:spacing w:before="0" w:after="0"/>
      </w:pPr>
    </w:p>
    <w:p>
      <w:r>
        <w:t xml:space="preserve">Rashodi za navedene naknade građanima i kućanstvima u razdoblju od 1. siječnja do 31. ožujka 2026. godine ostvareni su u iznosu od 28.294,41 €, odnosno 166,4%  ili 17.672,03 € više u odnosu na iste rashode ostvarene u promatranom razdoblju 2025. godine. Na rast tih rashoda je najviše utjecalo uvećanje naknada građanima i kućanstvima u novcu ostvarenih u iznosu od 22.744,38 €, odnosno za 274,7 ili 16.673,72 € više u odnosu na prošlu godinu i naknada građanima i kućanstvima u naravi više za 21,9% ili 998,31 €.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(šifre 3811 do 3813)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39.904,71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24.096,87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60,4</w:t>
            </w:r>
          </w:p>
        </w:tc>
      </w:tr>
    </w:tbl>
    <w:p>
      <w:pPr>
        <w:spacing w:before="0" w:after="0"/>
      </w:pPr>
    </w:p>
    <w:p>
      <w:r>
        <w:t xml:space="preserve">Rashodi za tekuće donacije u razdoblju od 1. siječnja do 31. ožujka 2026. godine ostvareni su u iznosu od 24.096,87 €, odnosno 39,6 ili 15.807,84 € manje u odnosu na iste rashode ostvarene u promatranom razdoblju 2025. godine. Na pad tih rashoda je utjecalo umanjenje rashoda za tekuće donacije u novcu.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3.240,00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Navedeni prihodi su u razdoblju od 1. siječnja do 31. ožujka 2026. godine ostvareni u iznosu od 3.240,00 € te nisu bili ostvareni u promatranom razdoblju 2025. godine, a odnose se na prihode od prodaje zemljišta.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421.539,68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978.100,43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232,0</w:t>
            </w:r>
          </w:p>
        </w:tc>
      </w:tr>
    </w:tbl>
    <w:p>
      <w:pPr>
        <w:spacing w:before="0" w:after="0"/>
      </w:pPr>
    </w:p>
    <w:p>
      <w:r>
        <w:t xml:space="preserve">Rashodi za nabavu nefinancijske imovine u razdoblju od 1. siječnja do 31. ožujka 2026. godine ostvareni su u iznosu od 978.100,43 €, odnosno 132% ili 556.560,75 € više u odnosu na iste rashode ostvarene u promatranom razdoblju 2025. godine. Odnose se većinom na rashode na nabavu proizvedene dugotrajne imovine - poslovne objekte.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2.500.000,00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Primici od financijske imovine i zaduživanja u razdoblju od 1. siječnja do 31. ožujka 2026. godine ostvareni su u iznosu od 2.500.000,00 € te nisu bili ostvareni u promatranom razdoblju 2025. godine. Odnose se na primljene kredite od kreditnih institucija u javnom sektoru.</w:t>
      </w:r>
    </w:p>
    <w:p>
      <w:r>
        <w:t xml:space="preserve"> 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24.163,15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33.330,52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137,9</w:t>
            </w:r>
          </w:p>
        </w:tc>
      </w:tr>
    </w:tbl>
    <w:p>
      <w:pPr>
        <w:spacing w:before="0" w:after="0"/>
      </w:pPr>
    </w:p>
    <w:p>
      <w:r>
        <w:t xml:space="preserve">Izdaci za financijsku imovinu i otplatu zajmova u razdoblju od 1. siječnja do 31. ožujka 2026. godine ostvareni su u iznosu od 33.330,52 €, odnosno 37,9% ili 9.167,37 € više u odnosu na iste rashode ostvarene u promatranom razdoblju 2025. godine što je najviše posljedica uvećanja izdataka za otplatu glavnice primljenih kredita od tuzemnih kreditnih institucija izvan javnog sektora.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1.049,90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Povećanje obveza u izvještajnom razdoblju iznosi 3.637.807,12 €, a isto se sastoji od obveza za rashode poslovanja i obveza za nabavu nefinancijske imovine, dok je početno stanje 01.01.2026. godine 852.054,77 € što čini ukupno 4.489.861,89 € obveza. U izvještajnom razdoblju podmirene su obveze u ukupnom iznosu od 1.533.589,88 € te na kraju izvještajnog razdoblja tj. sa 31.3.2026. godine stanje obveza iznosi 2.956.272,01 €.  Dospjele obveze na kraju izvještajnog razdoblja su evidentirane u iznosu od 1.049,90 € za rashode poslovanja zbog nedostatka računa po usklađenju, dok iznos nedospjelih obveza iznosi 2.955.222,11 € i to za obveze za rashode poslovanja, obveze za financijsku imovinu i obveze za predujmove, depozite, jamčevne pologe i tuđe prihode.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Bespovratna sredstva za razdoblje od 01.01.2026. do 31.03.2026. godine iznose 333.917,25€ iz izvora - Mehanizam za oporavak i otpornost, u 2025.g. u istom razdoblju iznos je bio 0,00 € ista se odnose na gradnju Centra za starije osobe Lobor te su i utrošena na ulaganje u poslovne objekte Centar za starije osobe Lobor u iznosu od 333.917,25 € u 2026.g. dok istog u promatranom razdoblju 2025.g. nije bilo.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278b1bd985c4dae" /></Relationships>
</file>